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9638" w14:textId="17F9E0CC" w:rsidR="00337A29" w:rsidRPr="00CC0A74" w:rsidRDefault="00337A29" w:rsidP="00337A29">
      <w:pPr>
        <w:rPr>
          <w:b/>
          <w:bCs/>
        </w:rPr>
      </w:pPr>
      <w:r w:rsidRPr="000323DB">
        <w:rPr>
          <w:b/>
          <w:bCs/>
        </w:rPr>
        <w:t>One Page Summary for:</w:t>
      </w:r>
      <w:r>
        <w:rPr>
          <w:b/>
          <w:bCs/>
        </w:rPr>
        <w:t xml:space="preserve"> </w:t>
      </w:r>
      <w:r w:rsidR="005F67A3" w:rsidRPr="005F67A3">
        <w:rPr>
          <w:b/>
          <w:bCs/>
        </w:rPr>
        <w:t>Hospice at Home Managers and Leaders</w:t>
      </w:r>
    </w:p>
    <w:p w14:paraId="0E84F9E8" w14:textId="77777777" w:rsidR="00BE19B4" w:rsidRPr="00CC0A74" w:rsidRDefault="00BE19B4" w:rsidP="00BE19B4">
      <w:pPr>
        <w:rPr>
          <w:b/>
          <w:bCs/>
        </w:rPr>
      </w:pPr>
      <w:r>
        <w:rPr>
          <w:b/>
          <w:bCs/>
        </w:rPr>
        <w:t xml:space="preserve">Visit the toolkit: </w:t>
      </w:r>
      <w:hyperlink r:id="rId7" w:history="1">
        <w:r w:rsidRPr="00A93D74">
          <w:rPr>
            <w:rStyle w:val="Hyperlink"/>
            <w:b/>
            <w:bCs/>
          </w:rPr>
          <w:t>www.hospiceathometoolkit.co.uk</w:t>
        </w:r>
      </w:hyperlink>
      <w:r>
        <w:rPr>
          <w:b/>
          <w:bCs/>
        </w:rPr>
        <w:t xml:space="preserve">  </w:t>
      </w:r>
    </w:p>
    <w:p w14:paraId="706B9884" w14:textId="77777777" w:rsidR="00337A29" w:rsidRDefault="00BE19B4" w:rsidP="00337A29">
      <w:hyperlink r:id="rId8" w:history="1">
        <w:r w:rsidR="00337A29" w:rsidRPr="00CC0A74">
          <w:rPr>
            <w:rStyle w:val="Hyperlink"/>
            <w:b/>
            <w:bCs/>
          </w:rPr>
          <w:t>Download Full Report</w:t>
        </w:r>
      </w:hyperlink>
      <w:r w:rsidR="00337A29" w:rsidRPr="00CC0A74">
        <w:rPr>
          <w:b/>
          <w:bCs/>
        </w:rPr>
        <w:t>:</w:t>
      </w:r>
      <w:r w:rsidR="00337A29">
        <w:rPr>
          <w:b/>
          <w:bCs/>
        </w:rPr>
        <w:t xml:space="preserve"> </w:t>
      </w:r>
      <w:hyperlink r:id="rId9" w:history="1">
        <w:r w:rsidR="00337A29" w:rsidRPr="00CC0A74">
          <w:rPr>
            <w:rStyle w:val="Hyperlink"/>
          </w:rPr>
          <w:t>https://www.journalslibrary.nihr.ac.uk/hsdr/MSAY4464</w:t>
        </w:r>
      </w:hyperlink>
    </w:p>
    <w:p w14:paraId="451B4C3C" w14:textId="77777777" w:rsidR="00BE19B4" w:rsidRDefault="00BE19B4"/>
    <w:p w14:paraId="4AA8B720" w14:textId="77777777" w:rsidR="005F67A3" w:rsidRPr="005F67A3" w:rsidRDefault="005F67A3" w:rsidP="005F67A3">
      <w:r w:rsidRPr="005F67A3">
        <w:rPr>
          <w:b/>
          <w:bCs/>
        </w:rPr>
        <w:t>Research into hospice at home services</w:t>
      </w:r>
    </w:p>
    <w:p w14:paraId="458617C6" w14:textId="77777777" w:rsidR="005F67A3" w:rsidRPr="005F67A3" w:rsidRDefault="005F67A3" w:rsidP="005F67A3">
      <w:r w:rsidRPr="005F67A3">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53DDFAD6" w14:textId="77777777" w:rsidR="005F67A3" w:rsidRDefault="005F67A3"/>
    <w:p w14:paraId="6D933421" w14:textId="77777777" w:rsidR="00F64C1D" w:rsidRPr="00F64C1D" w:rsidRDefault="00F64C1D" w:rsidP="00F64C1D">
      <w:r w:rsidRPr="00F64C1D">
        <w:rPr>
          <w:b/>
          <w:bCs/>
        </w:rPr>
        <w:t>What did the research show?</w:t>
      </w:r>
    </w:p>
    <w:p w14:paraId="4343C302" w14:textId="77777777" w:rsidR="00F64C1D" w:rsidRPr="00F64C1D" w:rsidRDefault="00F64C1D" w:rsidP="00F64C1D">
      <w:pPr>
        <w:numPr>
          <w:ilvl w:val="0"/>
          <w:numId w:val="1"/>
        </w:numPr>
      </w:pPr>
      <w:r w:rsidRPr="00F64C1D">
        <w:t>Almost all Hospice at home services provided personal care, psychosocial support and symptom management (not all provided this 24/7); on average for 1 week – 2 months from referral.</w:t>
      </w:r>
    </w:p>
    <w:p w14:paraId="199D08A8" w14:textId="77777777" w:rsidR="00F64C1D" w:rsidRPr="00F64C1D" w:rsidRDefault="00F64C1D" w:rsidP="00F64C1D">
      <w:pPr>
        <w:numPr>
          <w:ilvl w:val="0"/>
          <w:numId w:val="1"/>
        </w:numPr>
      </w:pPr>
      <w:r w:rsidRPr="00F64C1D">
        <w:t>Hospice at home services overall provided care that was likely to deliver ‘a good death’ and 73% of patients died in their preferred place. Patients admitted to hospice at home services were much less likely to die in hospital than the general population (9% vs 46% [2017 data]).</w:t>
      </w:r>
    </w:p>
    <w:p w14:paraId="3861E235" w14:textId="77777777" w:rsidR="00F64C1D" w:rsidRPr="00F64C1D" w:rsidRDefault="00F64C1D" w:rsidP="00F64C1D">
      <w:pPr>
        <w:numPr>
          <w:ilvl w:val="0"/>
          <w:numId w:val="1"/>
        </w:numPr>
      </w:pPr>
      <w:r w:rsidRPr="00F64C1D">
        <w:t>All HAH services offered care which was highly rated by family/friend carers.</w:t>
      </w:r>
    </w:p>
    <w:p w14:paraId="41A72FA2" w14:textId="77777777" w:rsidR="005F67A3" w:rsidRDefault="005F67A3"/>
    <w:p w14:paraId="666251B9" w14:textId="77777777" w:rsidR="00F64C1D" w:rsidRPr="00F64C1D" w:rsidRDefault="00F64C1D" w:rsidP="00F64C1D">
      <w:r w:rsidRPr="00F64C1D">
        <w:rPr>
          <w:b/>
          <w:bCs/>
        </w:rPr>
        <w:t>Key markers linked with the best outcomes for patients and families were:</w:t>
      </w:r>
    </w:p>
    <w:p w14:paraId="031EA09F" w14:textId="77777777" w:rsidR="001D5216" w:rsidRPr="001D5216" w:rsidRDefault="001D5216" w:rsidP="009641C3">
      <w:pPr>
        <w:pStyle w:val="ListParagraph"/>
        <w:numPr>
          <w:ilvl w:val="0"/>
          <w:numId w:val="2"/>
        </w:numPr>
        <w:spacing w:after="240"/>
        <w:ind w:left="714" w:hanging="357"/>
        <w:contextualSpacing w:val="0"/>
        <w:rPr>
          <w:b/>
          <w:bCs/>
        </w:rPr>
      </w:pPr>
      <w:r w:rsidRPr="001D5216">
        <w:rPr>
          <w:b/>
          <w:bCs/>
        </w:rPr>
        <w:t>Sustainability</w:t>
      </w:r>
      <w:r>
        <w:rPr>
          <w:b/>
          <w:bCs/>
        </w:rPr>
        <w:t xml:space="preserve">: </w:t>
      </w:r>
      <w:r w:rsidRPr="001D5216">
        <w:t>HAH may enable sustainability of their service if they proactively seek control over available statutory funding, engage with the wider health and social care environment and, if a charitable organisation, undertake income generation from a range of sources. To recruit and retain staff to deliver the care that patients need, a HAH service requires a reputation for excellence and investing in staff development.</w:t>
      </w:r>
    </w:p>
    <w:p w14:paraId="5EFFDA17" w14:textId="74786AB5" w:rsidR="007B7152" w:rsidRPr="007B7152" w:rsidRDefault="007B7152" w:rsidP="009641C3">
      <w:pPr>
        <w:pStyle w:val="ListParagraph"/>
        <w:numPr>
          <w:ilvl w:val="0"/>
          <w:numId w:val="2"/>
        </w:numPr>
        <w:spacing w:after="240"/>
        <w:ind w:left="714" w:hanging="357"/>
        <w:contextualSpacing w:val="0"/>
      </w:pPr>
      <w:r w:rsidRPr="007B7152">
        <w:rPr>
          <w:b/>
          <w:bCs/>
        </w:rPr>
        <w:t xml:space="preserve">Volunteers: </w:t>
      </w:r>
      <w:r w:rsidRPr="007B7152">
        <w:t>Volunteers are effectively recruited, trained and managed, including clear responsibilities, support and lines of reporting.</w:t>
      </w:r>
      <w:r>
        <w:t xml:space="preserve"> </w:t>
      </w:r>
      <w:r w:rsidRPr="007B7152">
        <w:t>HAH services may benefit from (re)considering what roles volunteers could have in HAH. HAH services may take a different approach to some aspects of volunteering, along the lines of the “Compassionate Communities” model, in which volunteers act as good neighbours.</w:t>
      </w:r>
    </w:p>
    <w:p w14:paraId="3BED730E" w14:textId="34FD15D2" w:rsidR="00A9657A" w:rsidRPr="00A9657A" w:rsidRDefault="007B7152" w:rsidP="009641C3">
      <w:pPr>
        <w:pStyle w:val="ListParagraph"/>
        <w:numPr>
          <w:ilvl w:val="0"/>
          <w:numId w:val="2"/>
        </w:numPr>
        <w:spacing w:after="240"/>
        <w:ind w:left="714" w:hanging="357"/>
        <w:contextualSpacing w:val="0"/>
      </w:pPr>
      <w:r w:rsidRPr="007B7152">
        <w:rPr>
          <w:b/>
          <w:bCs/>
        </w:rPr>
        <w:t xml:space="preserve"> </w:t>
      </w:r>
      <w:r w:rsidR="00A9657A" w:rsidRPr="00A9657A">
        <w:rPr>
          <w:b/>
          <w:bCs/>
        </w:rPr>
        <w:t xml:space="preserve">Integration &amp; Coordination: </w:t>
      </w:r>
      <w:r w:rsidR="00A9657A" w:rsidRPr="00A9657A">
        <w:t xml:space="preserve">The HAH service works in a coordinated and effective way with other service providers, at organisational level and on the ground. If patients and carers are provided and updated with information, including who and how to contact professionals, then the chances of them receiving a seamless service and continuity of care with consistent information increase. </w:t>
      </w:r>
    </w:p>
    <w:p w14:paraId="774CE7D8" w14:textId="77777777" w:rsidR="0004039A" w:rsidRPr="0004039A" w:rsidRDefault="008B7E5B" w:rsidP="009641C3">
      <w:pPr>
        <w:pStyle w:val="ListParagraph"/>
        <w:numPr>
          <w:ilvl w:val="0"/>
          <w:numId w:val="2"/>
        </w:numPr>
        <w:spacing w:after="240"/>
        <w:ind w:left="714" w:hanging="357"/>
        <w:contextualSpacing w:val="0"/>
      </w:pPr>
      <w:r w:rsidRPr="008B7E5B">
        <w:rPr>
          <w:b/>
          <w:bCs/>
        </w:rPr>
        <w:lastRenderedPageBreak/>
        <w:t>Marketing and referral</w:t>
      </w:r>
      <w:r>
        <w:rPr>
          <w:b/>
          <w:bCs/>
        </w:rPr>
        <w:t xml:space="preserve">: </w:t>
      </w:r>
      <w:r w:rsidR="0004039A" w:rsidRPr="0004039A">
        <w:t>To increase referrals in general, and in particular of those who are poorly represented in hospice services, HAH needs to actively market its service to professionals and the public through clinical and public engagement. Referral systems need to be as simple as possible and not require complex transfer of information.</w:t>
      </w:r>
    </w:p>
    <w:p w14:paraId="018236EC" w14:textId="77777777" w:rsidR="009160EF" w:rsidRPr="009160EF" w:rsidRDefault="0004039A" w:rsidP="009641C3">
      <w:pPr>
        <w:pStyle w:val="ListParagraph"/>
        <w:numPr>
          <w:ilvl w:val="0"/>
          <w:numId w:val="2"/>
        </w:numPr>
        <w:spacing w:after="240"/>
        <w:ind w:left="714" w:hanging="357"/>
        <w:contextualSpacing w:val="0"/>
        <w:rPr>
          <w:b/>
          <w:bCs/>
        </w:rPr>
      </w:pPr>
      <w:r w:rsidRPr="0004039A">
        <w:rPr>
          <w:b/>
          <w:bCs/>
        </w:rPr>
        <w:t>Skills &amp; Ethos of Care Providers</w:t>
      </w:r>
      <w:r>
        <w:rPr>
          <w:b/>
          <w:bCs/>
        </w:rPr>
        <w:t xml:space="preserve">: </w:t>
      </w:r>
      <w:r w:rsidR="009160EF" w:rsidRPr="009160EF">
        <w:t>To add value to the whole system of care, HAH services need to provide expert knowledge and skills in EOLC with a suitable ethos to support this care. This is enabled by experienced staff who have spent a significant proportion of their time in EOLC so that patients and families trust them. Staff at all levels are suitably trained, including relevant communication skills.</w:t>
      </w:r>
      <w:r w:rsidR="009160EF" w:rsidRPr="009160EF">
        <w:rPr>
          <w:b/>
          <w:bCs/>
        </w:rPr>
        <w:t xml:space="preserve"> </w:t>
      </w:r>
    </w:p>
    <w:p w14:paraId="7A100212" w14:textId="206FA275" w:rsidR="009641C3" w:rsidRPr="009641C3" w:rsidRDefault="009160EF" w:rsidP="009641C3">
      <w:pPr>
        <w:pStyle w:val="ListParagraph"/>
        <w:numPr>
          <w:ilvl w:val="0"/>
          <w:numId w:val="2"/>
        </w:numPr>
        <w:spacing w:after="240"/>
        <w:ind w:left="714" w:hanging="357"/>
        <w:contextualSpacing w:val="0"/>
      </w:pPr>
      <w:r w:rsidRPr="009641C3">
        <w:rPr>
          <w:b/>
          <w:bCs/>
        </w:rPr>
        <w:t>Support directed at the patient–carer dyad</w:t>
      </w:r>
      <w:r w:rsidRPr="009641C3">
        <w:t xml:space="preserve">: </w:t>
      </w:r>
      <w:r w:rsidR="009641C3" w:rsidRPr="009641C3">
        <w:t>A full assessment of care needs including the whole family/care unit is required. The HAH service negotiates a partnership with the carer, including clarity about what can and cannot be provided, and recognition of what the patient–carer dyad wants.</w:t>
      </w:r>
    </w:p>
    <w:p w14:paraId="6EDF0306" w14:textId="4904B519" w:rsidR="00F64C1D" w:rsidRDefault="00F64C1D" w:rsidP="009641C3">
      <w:pPr>
        <w:pStyle w:val="ListParagraph"/>
      </w:pPr>
    </w:p>
    <w:sectPr w:rsidR="00F64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ECC7" w14:textId="77777777" w:rsidR="00BE19B4" w:rsidRDefault="00BE19B4" w:rsidP="00BE19B4">
      <w:pPr>
        <w:spacing w:after="0" w:line="240" w:lineRule="auto"/>
      </w:pPr>
      <w:r>
        <w:separator/>
      </w:r>
    </w:p>
  </w:endnote>
  <w:endnote w:type="continuationSeparator" w:id="0">
    <w:p w14:paraId="4E712065" w14:textId="77777777" w:rsidR="00BE19B4" w:rsidRDefault="00BE19B4" w:rsidP="00BE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A847" w14:textId="77777777" w:rsidR="00BE19B4" w:rsidRDefault="00BE19B4" w:rsidP="00BE19B4">
      <w:pPr>
        <w:spacing w:after="0" w:line="240" w:lineRule="auto"/>
      </w:pPr>
      <w:r>
        <w:separator/>
      </w:r>
    </w:p>
  </w:footnote>
  <w:footnote w:type="continuationSeparator" w:id="0">
    <w:p w14:paraId="43199A03" w14:textId="77777777" w:rsidR="00BE19B4" w:rsidRDefault="00BE19B4" w:rsidP="00BE1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1C90"/>
    <w:multiLevelType w:val="hybridMultilevel"/>
    <w:tmpl w:val="0158E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43423A"/>
    <w:multiLevelType w:val="hybridMultilevel"/>
    <w:tmpl w:val="C1600EB8"/>
    <w:lvl w:ilvl="0" w:tplc="E854838A">
      <w:start w:val="1"/>
      <w:numFmt w:val="bullet"/>
      <w:lvlText w:val="o"/>
      <w:lvlJc w:val="left"/>
      <w:pPr>
        <w:tabs>
          <w:tab w:val="num" w:pos="720"/>
        </w:tabs>
        <w:ind w:left="720" w:hanging="360"/>
      </w:pPr>
      <w:rPr>
        <w:rFonts w:ascii="Courier New" w:hAnsi="Courier New" w:hint="default"/>
      </w:rPr>
    </w:lvl>
    <w:lvl w:ilvl="1" w:tplc="C3E4B82E" w:tentative="1">
      <w:start w:val="1"/>
      <w:numFmt w:val="bullet"/>
      <w:lvlText w:val="o"/>
      <w:lvlJc w:val="left"/>
      <w:pPr>
        <w:tabs>
          <w:tab w:val="num" w:pos="1440"/>
        </w:tabs>
        <w:ind w:left="1440" w:hanging="360"/>
      </w:pPr>
      <w:rPr>
        <w:rFonts w:ascii="Courier New" w:hAnsi="Courier New" w:hint="default"/>
      </w:rPr>
    </w:lvl>
    <w:lvl w:ilvl="2" w:tplc="63AEA0F2" w:tentative="1">
      <w:start w:val="1"/>
      <w:numFmt w:val="bullet"/>
      <w:lvlText w:val="o"/>
      <w:lvlJc w:val="left"/>
      <w:pPr>
        <w:tabs>
          <w:tab w:val="num" w:pos="2160"/>
        </w:tabs>
        <w:ind w:left="2160" w:hanging="360"/>
      </w:pPr>
      <w:rPr>
        <w:rFonts w:ascii="Courier New" w:hAnsi="Courier New" w:hint="default"/>
      </w:rPr>
    </w:lvl>
    <w:lvl w:ilvl="3" w:tplc="F8BAA25E" w:tentative="1">
      <w:start w:val="1"/>
      <w:numFmt w:val="bullet"/>
      <w:lvlText w:val="o"/>
      <w:lvlJc w:val="left"/>
      <w:pPr>
        <w:tabs>
          <w:tab w:val="num" w:pos="2880"/>
        </w:tabs>
        <w:ind w:left="2880" w:hanging="360"/>
      </w:pPr>
      <w:rPr>
        <w:rFonts w:ascii="Courier New" w:hAnsi="Courier New" w:hint="default"/>
      </w:rPr>
    </w:lvl>
    <w:lvl w:ilvl="4" w:tplc="5F84BB36" w:tentative="1">
      <w:start w:val="1"/>
      <w:numFmt w:val="bullet"/>
      <w:lvlText w:val="o"/>
      <w:lvlJc w:val="left"/>
      <w:pPr>
        <w:tabs>
          <w:tab w:val="num" w:pos="3600"/>
        </w:tabs>
        <w:ind w:left="3600" w:hanging="360"/>
      </w:pPr>
      <w:rPr>
        <w:rFonts w:ascii="Courier New" w:hAnsi="Courier New" w:hint="default"/>
      </w:rPr>
    </w:lvl>
    <w:lvl w:ilvl="5" w:tplc="9D4AB65A" w:tentative="1">
      <w:start w:val="1"/>
      <w:numFmt w:val="bullet"/>
      <w:lvlText w:val="o"/>
      <w:lvlJc w:val="left"/>
      <w:pPr>
        <w:tabs>
          <w:tab w:val="num" w:pos="4320"/>
        </w:tabs>
        <w:ind w:left="4320" w:hanging="360"/>
      </w:pPr>
      <w:rPr>
        <w:rFonts w:ascii="Courier New" w:hAnsi="Courier New" w:hint="default"/>
      </w:rPr>
    </w:lvl>
    <w:lvl w:ilvl="6" w:tplc="50AC2FCC" w:tentative="1">
      <w:start w:val="1"/>
      <w:numFmt w:val="bullet"/>
      <w:lvlText w:val="o"/>
      <w:lvlJc w:val="left"/>
      <w:pPr>
        <w:tabs>
          <w:tab w:val="num" w:pos="5040"/>
        </w:tabs>
        <w:ind w:left="5040" w:hanging="360"/>
      </w:pPr>
      <w:rPr>
        <w:rFonts w:ascii="Courier New" w:hAnsi="Courier New" w:hint="default"/>
      </w:rPr>
    </w:lvl>
    <w:lvl w:ilvl="7" w:tplc="132AAECC" w:tentative="1">
      <w:start w:val="1"/>
      <w:numFmt w:val="bullet"/>
      <w:lvlText w:val="o"/>
      <w:lvlJc w:val="left"/>
      <w:pPr>
        <w:tabs>
          <w:tab w:val="num" w:pos="5760"/>
        </w:tabs>
        <w:ind w:left="5760" w:hanging="360"/>
      </w:pPr>
      <w:rPr>
        <w:rFonts w:ascii="Courier New" w:hAnsi="Courier New" w:hint="default"/>
      </w:rPr>
    </w:lvl>
    <w:lvl w:ilvl="8" w:tplc="5A40E66A" w:tentative="1">
      <w:start w:val="1"/>
      <w:numFmt w:val="bullet"/>
      <w:lvlText w:val="o"/>
      <w:lvlJc w:val="left"/>
      <w:pPr>
        <w:tabs>
          <w:tab w:val="num" w:pos="6480"/>
        </w:tabs>
        <w:ind w:left="6480" w:hanging="360"/>
      </w:pPr>
      <w:rPr>
        <w:rFonts w:ascii="Courier New" w:hAnsi="Courier New" w:hint="default"/>
      </w:rPr>
    </w:lvl>
  </w:abstractNum>
  <w:num w:numId="1" w16cid:durableId="506408696">
    <w:abstractNumId w:val="1"/>
  </w:num>
  <w:num w:numId="2" w16cid:durableId="203163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34"/>
    <w:rsid w:val="0004039A"/>
    <w:rsid w:val="001D5216"/>
    <w:rsid w:val="00337A29"/>
    <w:rsid w:val="003A4D26"/>
    <w:rsid w:val="00474E34"/>
    <w:rsid w:val="005F67A3"/>
    <w:rsid w:val="007B7152"/>
    <w:rsid w:val="008B7E5B"/>
    <w:rsid w:val="009160EF"/>
    <w:rsid w:val="009641C3"/>
    <w:rsid w:val="00A9657A"/>
    <w:rsid w:val="00BE19B4"/>
    <w:rsid w:val="00F64C1D"/>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3C5E9"/>
  <w15:chartTrackingRefBased/>
  <w15:docId w15:val="{50D8E475-553A-4070-9E24-369DCB5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A29"/>
    <w:rPr>
      <w:color w:val="0563C1" w:themeColor="hyperlink"/>
      <w:u w:val="single"/>
    </w:rPr>
  </w:style>
  <w:style w:type="paragraph" w:styleId="NormalWeb">
    <w:name w:val="Normal (Web)"/>
    <w:basedOn w:val="Normal"/>
    <w:uiPriority w:val="99"/>
    <w:semiHidden/>
    <w:unhideWhenUsed/>
    <w:rsid w:val="005F6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4C1D"/>
    <w:pPr>
      <w:ind w:left="720"/>
      <w:contextualSpacing/>
    </w:pPr>
  </w:style>
  <w:style w:type="paragraph" w:styleId="Header">
    <w:name w:val="header"/>
    <w:basedOn w:val="Normal"/>
    <w:link w:val="HeaderChar"/>
    <w:uiPriority w:val="99"/>
    <w:unhideWhenUsed/>
    <w:rsid w:val="00BE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9B4"/>
  </w:style>
  <w:style w:type="paragraph" w:styleId="Footer">
    <w:name w:val="footer"/>
    <w:basedOn w:val="Normal"/>
    <w:link w:val="FooterChar"/>
    <w:uiPriority w:val="99"/>
    <w:unhideWhenUsed/>
    <w:rsid w:val="00BE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1271">
      <w:bodyDiv w:val="1"/>
      <w:marLeft w:val="0"/>
      <w:marRight w:val="0"/>
      <w:marTop w:val="0"/>
      <w:marBottom w:val="0"/>
      <w:divBdr>
        <w:top w:val="none" w:sz="0" w:space="0" w:color="auto"/>
        <w:left w:val="none" w:sz="0" w:space="0" w:color="auto"/>
        <w:bottom w:val="none" w:sz="0" w:space="0" w:color="auto"/>
        <w:right w:val="none" w:sz="0" w:space="0" w:color="auto"/>
      </w:divBdr>
    </w:div>
    <w:div w:id="225994290">
      <w:bodyDiv w:val="1"/>
      <w:marLeft w:val="0"/>
      <w:marRight w:val="0"/>
      <w:marTop w:val="0"/>
      <w:marBottom w:val="0"/>
      <w:divBdr>
        <w:top w:val="none" w:sz="0" w:space="0" w:color="auto"/>
        <w:left w:val="none" w:sz="0" w:space="0" w:color="auto"/>
        <w:bottom w:val="none" w:sz="0" w:space="0" w:color="auto"/>
        <w:right w:val="none" w:sz="0" w:space="0" w:color="auto"/>
      </w:divBdr>
    </w:div>
    <w:div w:id="534537318">
      <w:bodyDiv w:val="1"/>
      <w:marLeft w:val="0"/>
      <w:marRight w:val="0"/>
      <w:marTop w:val="0"/>
      <w:marBottom w:val="0"/>
      <w:divBdr>
        <w:top w:val="none" w:sz="0" w:space="0" w:color="auto"/>
        <w:left w:val="none" w:sz="0" w:space="0" w:color="auto"/>
        <w:bottom w:val="none" w:sz="0" w:space="0" w:color="auto"/>
        <w:right w:val="none" w:sz="0" w:space="0" w:color="auto"/>
      </w:divBdr>
    </w:div>
    <w:div w:id="654146551">
      <w:bodyDiv w:val="1"/>
      <w:marLeft w:val="0"/>
      <w:marRight w:val="0"/>
      <w:marTop w:val="0"/>
      <w:marBottom w:val="0"/>
      <w:divBdr>
        <w:top w:val="none" w:sz="0" w:space="0" w:color="auto"/>
        <w:left w:val="none" w:sz="0" w:space="0" w:color="auto"/>
        <w:bottom w:val="none" w:sz="0" w:space="0" w:color="auto"/>
        <w:right w:val="none" w:sz="0" w:space="0" w:color="auto"/>
      </w:divBdr>
    </w:div>
    <w:div w:id="797573650">
      <w:bodyDiv w:val="1"/>
      <w:marLeft w:val="0"/>
      <w:marRight w:val="0"/>
      <w:marTop w:val="0"/>
      <w:marBottom w:val="0"/>
      <w:divBdr>
        <w:top w:val="none" w:sz="0" w:space="0" w:color="auto"/>
        <w:left w:val="none" w:sz="0" w:space="0" w:color="auto"/>
        <w:bottom w:val="none" w:sz="0" w:space="0" w:color="auto"/>
        <w:right w:val="none" w:sz="0" w:space="0" w:color="auto"/>
      </w:divBdr>
    </w:div>
    <w:div w:id="857230134">
      <w:bodyDiv w:val="1"/>
      <w:marLeft w:val="0"/>
      <w:marRight w:val="0"/>
      <w:marTop w:val="0"/>
      <w:marBottom w:val="0"/>
      <w:divBdr>
        <w:top w:val="none" w:sz="0" w:space="0" w:color="auto"/>
        <w:left w:val="none" w:sz="0" w:space="0" w:color="auto"/>
        <w:bottom w:val="none" w:sz="0" w:space="0" w:color="auto"/>
        <w:right w:val="none" w:sz="0" w:space="0" w:color="auto"/>
      </w:divBdr>
    </w:div>
    <w:div w:id="912279899">
      <w:bodyDiv w:val="1"/>
      <w:marLeft w:val="0"/>
      <w:marRight w:val="0"/>
      <w:marTop w:val="0"/>
      <w:marBottom w:val="0"/>
      <w:divBdr>
        <w:top w:val="none" w:sz="0" w:space="0" w:color="auto"/>
        <w:left w:val="none" w:sz="0" w:space="0" w:color="auto"/>
        <w:bottom w:val="none" w:sz="0" w:space="0" w:color="auto"/>
        <w:right w:val="none" w:sz="0" w:space="0" w:color="auto"/>
      </w:divBdr>
    </w:div>
    <w:div w:id="1044981292">
      <w:bodyDiv w:val="1"/>
      <w:marLeft w:val="0"/>
      <w:marRight w:val="0"/>
      <w:marTop w:val="0"/>
      <w:marBottom w:val="0"/>
      <w:divBdr>
        <w:top w:val="none" w:sz="0" w:space="0" w:color="auto"/>
        <w:left w:val="none" w:sz="0" w:space="0" w:color="auto"/>
        <w:bottom w:val="none" w:sz="0" w:space="0" w:color="auto"/>
        <w:right w:val="none" w:sz="0" w:space="0" w:color="auto"/>
      </w:divBdr>
    </w:div>
    <w:div w:id="1234855441">
      <w:bodyDiv w:val="1"/>
      <w:marLeft w:val="0"/>
      <w:marRight w:val="0"/>
      <w:marTop w:val="0"/>
      <w:marBottom w:val="0"/>
      <w:divBdr>
        <w:top w:val="none" w:sz="0" w:space="0" w:color="auto"/>
        <w:left w:val="none" w:sz="0" w:space="0" w:color="auto"/>
        <w:bottom w:val="none" w:sz="0" w:space="0" w:color="auto"/>
        <w:right w:val="none" w:sz="0" w:space="0" w:color="auto"/>
      </w:divBdr>
    </w:div>
    <w:div w:id="1600986171">
      <w:bodyDiv w:val="1"/>
      <w:marLeft w:val="0"/>
      <w:marRight w:val="0"/>
      <w:marTop w:val="0"/>
      <w:marBottom w:val="0"/>
      <w:divBdr>
        <w:top w:val="none" w:sz="0" w:space="0" w:color="auto"/>
        <w:left w:val="none" w:sz="0" w:space="0" w:color="auto"/>
        <w:bottom w:val="none" w:sz="0" w:space="0" w:color="auto"/>
        <w:right w:val="none" w:sz="0" w:space="0" w:color="auto"/>
      </w:divBdr>
    </w:div>
    <w:div w:id="1608124208">
      <w:bodyDiv w:val="1"/>
      <w:marLeft w:val="0"/>
      <w:marRight w:val="0"/>
      <w:marTop w:val="0"/>
      <w:marBottom w:val="0"/>
      <w:divBdr>
        <w:top w:val="none" w:sz="0" w:space="0" w:color="auto"/>
        <w:left w:val="none" w:sz="0" w:space="0" w:color="auto"/>
        <w:bottom w:val="none" w:sz="0" w:space="0" w:color="auto"/>
        <w:right w:val="none" w:sz="0" w:space="0" w:color="auto"/>
      </w:divBdr>
    </w:div>
    <w:div w:id="1776900582">
      <w:bodyDiv w:val="1"/>
      <w:marLeft w:val="0"/>
      <w:marRight w:val="0"/>
      <w:marTop w:val="0"/>
      <w:marBottom w:val="0"/>
      <w:divBdr>
        <w:top w:val="none" w:sz="0" w:space="0" w:color="auto"/>
        <w:left w:val="none" w:sz="0" w:space="0" w:color="auto"/>
        <w:bottom w:val="none" w:sz="0" w:space="0" w:color="auto"/>
        <w:right w:val="none" w:sz="0" w:space="0" w:color="auto"/>
      </w:divBdr>
    </w:div>
    <w:div w:id="1801267991">
      <w:bodyDiv w:val="1"/>
      <w:marLeft w:val="0"/>
      <w:marRight w:val="0"/>
      <w:marTop w:val="0"/>
      <w:marBottom w:val="0"/>
      <w:divBdr>
        <w:top w:val="none" w:sz="0" w:space="0" w:color="auto"/>
        <w:left w:val="none" w:sz="0" w:space="0" w:color="auto"/>
        <w:bottom w:val="none" w:sz="0" w:space="0" w:color="auto"/>
        <w:right w:val="none" w:sz="0" w:space="0" w:color="auto"/>
      </w:divBdr>
      <w:divsChild>
        <w:div w:id="721757866">
          <w:marLeft w:val="274"/>
          <w:marRight w:val="0"/>
          <w:marTop w:val="0"/>
          <w:marBottom w:val="60"/>
          <w:divBdr>
            <w:top w:val="none" w:sz="0" w:space="0" w:color="auto"/>
            <w:left w:val="none" w:sz="0" w:space="0" w:color="auto"/>
            <w:bottom w:val="none" w:sz="0" w:space="0" w:color="auto"/>
            <w:right w:val="none" w:sz="0" w:space="0" w:color="auto"/>
          </w:divBdr>
        </w:div>
        <w:div w:id="744691361">
          <w:marLeft w:val="274"/>
          <w:marRight w:val="0"/>
          <w:marTop w:val="0"/>
          <w:marBottom w:val="60"/>
          <w:divBdr>
            <w:top w:val="none" w:sz="0" w:space="0" w:color="auto"/>
            <w:left w:val="none" w:sz="0" w:space="0" w:color="auto"/>
            <w:bottom w:val="none" w:sz="0" w:space="0" w:color="auto"/>
            <w:right w:val="none" w:sz="0" w:space="0" w:color="auto"/>
          </w:divBdr>
        </w:div>
        <w:div w:id="260064414">
          <w:marLeft w:val="274"/>
          <w:marRight w:val="0"/>
          <w:marTop w:val="0"/>
          <w:marBottom w:val="60"/>
          <w:divBdr>
            <w:top w:val="none" w:sz="0" w:space="0" w:color="auto"/>
            <w:left w:val="none" w:sz="0" w:space="0" w:color="auto"/>
            <w:bottom w:val="none" w:sz="0" w:space="0" w:color="auto"/>
            <w:right w:val="none" w:sz="0" w:space="0" w:color="auto"/>
          </w:divBdr>
        </w:div>
      </w:divsChild>
    </w:div>
    <w:div w:id="1856118133">
      <w:bodyDiv w:val="1"/>
      <w:marLeft w:val="0"/>
      <w:marRight w:val="0"/>
      <w:marTop w:val="0"/>
      <w:marBottom w:val="0"/>
      <w:divBdr>
        <w:top w:val="none" w:sz="0" w:space="0" w:color="auto"/>
        <w:left w:val="none" w:sz="0" w:space="0" w:color="auto"/>
        <w:bottom w:val="none" w:sz="0" w:space="0" w:color="auto"/>
        <w:right w:val="none" w:sz="0" w:space="0" w:color="auto"/>
      </w:divBdr>
    </w:div>
    <w:div w:id="2017224679">
      <w:bodyDiv w:val="1"/>
      <w:marLeft w:val="0"/>
      <w:marRight w:val="0"/>
      <w:marTop w:val="0"/>
      <w:marBottom w:val="0"/>
      <w:divBdr>
        <w:top w:val="none" w:sz="0" w:space="0" w:color="auto"/>
        <w:left w:val="none" w:sz="0" w:space="0" w:color="auto"/>
        <w:bottom w:val="none" w:sz="0" w:space="0" w:color="auto"/>
        <w:right w:val="none" w:sz="0" w:space="0" w:color="auto"/>
      </w:divBdr>
    </w:div>
    <w:div w:id="20992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hsdr/MSAY4464" TargetMode="External"/><Relationship Id="rId3" Type="http://schemas.openxmlformats.org/officeDocument/2006/relationships/settings" Target="settings.xml"/><Relationship Id="rId7" Type="http://schemas.openxmlformats.org/officeDocument/2006/relationships/hyperlink" Target="http://www.hospiceathome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urnalslibrary.nihr.ac.uk/hsdr/MSAY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12</cp:revision>
  <dcterms:created xsi:type="dcterms:W3CDTF">2023-04-06T05:27:00Z</dcterms:created>
  <dcterms:modified xsi:type="dcterms:W3CDTF">2023-10-28T16:22:00Z</dcterms:modified>
</cp:coreProperties>
</file>