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4BEE" w14:textId="77777777" w:rsidR="009F2684" w:rsidRPr="009F2684" w:rsidRDefault="009F2684" w:rsidP="009F2684">
      <w:pPr>
        <w:rPr>
          <w:b/>
          <w:bCs/>
        </w:rPr>
      </w:pPr>
      <w:r w:rsidRPr="009F2684">
        <w:rPr>
          <w:b/>
          <w:bCs/>
        </w:rPr>
        <w:t>One Page Summary for:</w:t>
      </w:r>
      <w:r>
        <w:rPr>
          <w:b/>
          <w:bCs/>
        </w:rPr>
        <w:t xml:space="preserve"> </w:t>
      </w:r>
      <w:r w:rsidRPr="009F2684">
        <w:rPr>
          <w:b/>
          <w:bCs/>
        </w:rPr>
        <w:t>Health and Social Care Commissioners and Integrated Care Boards</w:t>
      </w:r>
    </w:p>
    <w:p w14:paraId="2BC50B74" w14:textId="77777777" w:rsidR="001E73BD" w:rsidRPr="00CC0A74" w:rsidRDefault="001E73BD" w:rsidP="001E73BD">
      <w:pPr>
        <w:rPr>
          <w:b/>
          <w:bCs/>
        </w:rPr>
      </w:pPr>
      <w:r>
        <w:rPr>
          <w:b/>
          <w:bCs/>
        </w:rPr>
        <w:t xml:space="preserve">Visit the toolkit: </w:t>
      </w:r>
      <w:hyperlink r:id="rId7" w:history="1">
        <w:r w:rsidRPr="00A93D74">
          <w:rPr>
            <w:rStyle w:val="Hyperlink"/>
            <w:b/>
            <w:bCs/>
          </w:rPr>
          <w:t>www.hospiceathometoolkit.co.uk</w:t>
        </w:r>
      </w:hyperlink>
      <w:r>
        <w:rPr>
          <w:b/>
          <w:bCs/>
        </w:rPr>
        <w:t xml:space="preserve">  </w:t>
      </w:r>
    </w:p>
    <w:p w14:paraId="1090B97D" w14:textId="09728E55" w:rsidR="009F2684" w:rsidRDefault="009F2684" w:rsidP="009F2684">
      <w:r w:rsidRPr="009F2684">
        <w:t>Download Full Report</w:t>
      </w:r>
      <w:r>
        <w:t xml:space="preserve">: </w:t>
      </w:r>
      <w:hyperlink r:id="rId8" w:anchor="/abstract" w:history="1">
        <w:r w:rsidRPr="00170240">
          <w:rPr>
            <w:rStyle w:val="Hyperlink"/>
          </w:rPr>
          <w:t>https://www.journalslibrary.nihr.ac.uk/hsdr/MSAY4464#/abstract</w:t>
        </w:r>
      </w:hyperlink>
    </w:p>
    <w:p w14:paraId="1B28A397" w14:textId="77777777" w:rsidR="009F2684" w:rsidRDefault="009F2684" w:rsidP="009F2684">
      <w:pPr>
        <w:rPr>
          <w:b/>
          <w:bCs/>
        </w:rPr>
      </w:pPr>
    </w:p>
    <w:p w14:paraId="01188DA8" w14:textId="77777777" w:rsidR="009F2684" w:rsidRPr="009F2684" w:rsidRDefault="009F2684" w:rsidP="009F2684">
      <w:r w:rsidRPr="009F2684">
        <w:rPr>
          <w:b/>
          <w:bCs/>
        </w:rPr>
        <w:t>Research into hospice at home services</w:t>
      </w:r>
    </w:p>
    <w:p w14:paraId="25FF298B" w14:textId="77777777" w:rsidR="009F2684" w:rsidRDefault="009F2684" w:rsidP="009F2684">
      <w:r w:rsidRPr="009F2684">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family/informal carers and interviewed 85 professionals.</w:t>
      </w:r>
    </w:p>
    <w:p w14:paraId="48E98639" w14:textId="77777777" w:rsidR="009F2684" w:rsidRDefault="009F2684" w:rsidP="009F2684"/>
    <w:p w14:paraId="41CF1E0C" w14:textId="77777777" w:rsidR="009F2684" w:rsidRPr="009F2684" w:rsidRDefault="009F2684" w:rsidP="009F2684">
      <w:r w:rsidRPr="009F2684">
        <w:rPr>
          <w:b/>
          <w:bCs/>
        </w:rPr>
        <w:t>What did the research show?</w:t>
      </w:r>
    </w:p>
    <w:p w14:paraId="41C092B8" w14:textId="77777777" w:rsidR="009F2684" w:rsidRPr="009F2684" w:rsidRDefault="009F2684" w:rsidP="009F2684">
      <w:pPr>
        <w:numPr>
          <w:ilvl w:val="0"/>
          <w:numId w:val="1"/>
        </w:numPr>
      </w:pPr>
      <w:r w:rsidRPr="009F2684">
        <w:t xml:space="preserve">Hospice at home (HAH) services overall provided care that was likely to deliver ‘a good death’ and 73% of patients died in their preferred place. </w:t>
      </w:r>
    </w:p>
    <w:p w14:paraId="13C966F3" w14:textId="77777777" w:rsidR="009F2684" w:rsidRPr="009F2684" w:rsidRDefault="009F2684" w:rsidP="009F2684">
      <w:pPr>
        <w:numPr>
          <w:ilvl w:val="0"/>
          <w:numId w:val="1"/>
        </w:numPr>
      </w:pPr>
      <w:r w:rsidRPr="009F2684">
        <w:t>Patients admitted to HAH services were much less likely to die in hospital than the general population (9% vs 46% [2017 data]).</w:t>
      </w:r>
    </w:p>
    <w:p w14:paraId="307F4468" w14:textId="77777777" w:rsidR="009F2684" w:rsidRPr="009F2684" w:rsidRDefault="009F2684" w:rsidP="009F2684">
      <w:pPr>
        <w:numPr>
          <w:ilvl w:val="0"/>
          <w:numId w:val="1"/>
        </w:numPr>
      </w:pPr>
      <w:r w:rsidRPr="009F2684">
        <w:t>All HAH services offered care which was highly rated by family/informal carers.</w:t>
      </w:r>
    </w:p>
    <w:p w14:paraId="1D70123D" w14:textId="77777777" w:rsidR="009F2684" w:rsidRPr="009F2684" w:rsidRDefault="009F2684" w:rsidP="009F2684">
      <w:pPr>
        <w:numPr>
          <w:ilvl w:val="0"/>
          <w:numId w:val="1"/>
        </w:numPr>
      </w:pPr>
      <w:r w:rsidRPr="009F2684">
        <w:t>The majority of HAH services were being delivered to patients dying of cancer (77% of patients admitted to HAH had main diagnosis of cancer).</w:t>
      </w:r>
    </w:p>
    <w:p w14:paraId="6F787A6F" w14:textId="77777777" w:rsidR="009F2684" w:rsidRPr="009F2684" w:rsidRDefault="009F2684" w:rsidP="009F2684">
      <w:pPr>
        <w:numPr>
          <w:ilvl w:val="0"/>
          <w:numId w:val="1"/>
        </w:numPr>
      </w:pPr>
      <w:r w:rsidRPr="009F2684">
        <w:t>Two-thirds of HAH services reported charity donations as the main source of funds.</w:t>
      </w:r>
    </w:p>
    <w:p w14:paraId="7BFDF114" w14:textId="77777777" w:rsidR="009F2684" w:rsidRDefault="009F2684" w:rsidP="009F2684"/>
    <w:p w14:paraId="581676BD" w14:textId="77777777" w:rsidR="009F2684" w:rsidRPr="009F2684" w:rsidRDefault="009F2684" w:rsidP="009F2684">
      <w:r w:rsidRPr="009F2684">
        <w:rPr>
          <w:b/>
          <w:bCs/>
        </w:rPr>
        <w:t>What does this mean for you when commissioning Palliative and End of Life Care services?</w:t>
      </w:r>
    </w:p>
    <w:p w14:paraId="70D60ED8" w14:textId="77777777" w:rsidR="009F2684" w:rsidRPr="009F2684" w:rsidRDefault="009F2684" w:rsidP="009F2684">
      <w:r w:rsidRPr="009F2684">
        <w:t>N.B. There were considerable variations in the detailed operations of hospice at home services from one locality to the next, so it is important to find out about your local service (</w:t>
      </w:r>
      <w:hyperlink r:id="rId9" w:history="1">
        <w:r w:rsidRPr="009F2684">
          <w:rPr>
            <w:rStyle w:val="Hyperlink"/>
          </w:rPr>
          <w:t>Hospice Care Finder, Hospice UK</w:t>
        </w:r>
      </w:hyperlink>
      <w:r w:rsidRPr="009F2684">
        <w:t>).</w:t>
      </w:r>
    </w:p>
    <w:p w14:paraId="5F045AAB" w14:textId="77777777" w:rsidR="009F2684" w:rsidRDefault="009F2684" w:rsidP="009F2684"/>
    <w:p w14:paraId="45174908" w14:textId="77777777" w:rsidR="009F2684" w:rsidRPr="009F2684" w:rsidRDefault="009F2684" w:rsidP="009F2684">
      <w:pPr>
        <w:pStyle w:val="ListParagraph"/>
        <w:numPr>
          <w:ilvl w:val="0"/>
          <w:numId w:val="2"/>
        </w:numPr>
        <w:spacing w:after="240"/>
        <w:ind w:left="714" w:hanging="357"/>
        <w:contextualSpacing w:val="0"/>
      </w:pPr>
      <w:r w:rsidRPr="009F2684">
        <w:t xml:space="preserve">Commissioners could utilise some of their budget effectively by funding HAH and achieving objectives enabling choice about place of care and reducing acute hospital pressures. </w:t>
      </w:r>
    </w:p>
    <w:p w14:paraId="29599BDD" w14:textId="77777777" w:rsidR="009F2684" w:rsidRPr="009F2684" w:rsidRDefault="009F2684" w:rsidP="009F2684">
      <w:pPr>
        <w:pStyle w:val="ListParagraph"/>
        <w:numPr>
          <w:ilvl w:val="0"/>
          <w:numId w:val="2"/>
        </w:numPr>
        <w:spacing w:after="240"/>
        <w:ind w:left="714" w:hanging="357"/>
        <w:contextualSpacing w:val="0"/>
      </w:pPr>
      <w:r w:rsidRPr="009F2684">
        <w:t xml:space="preserve">As significant funding for HAH across the country comes from charitable sources, commissioners who spend NHS funds on HAH are likely to get good added value, </w:t>
      </w:r>
      <w:r w:rsidRPr="009F2684">
        <w:rPr>
          <w:i/>
          <w:iCs/>
        </w:rPr>
        <w:t xml:space="preserve">however </w:t>
      </w:r>
      <w:r w:rsidRPr="009F2684">
        <w:rPr>
          <w:i/>
          <w:iCs/>
        </w:rPr>
        <w:sym w:font="Wingdings" w:char="F0F0"/>
      </w:r>
    </w:p>
    <w:p w14:paraId="6DBD2C99" w14:textId="77777777" w:rsidR="009F2684" w:rsidRPr="009F2684" w:rsidRDefault="009F2684" w:rsidP="009F2684">
      <w:pPr>
        <w:pStyle w:val="ListParagraph"/>
        <w:numPr>
          <w:ilvl w:val="0"/>
          <w:numId w:val="2"/>
        </w:numPr>
        <w:spacing w:after="240"/>
        <w:ind w:left="714" w:hanging="357"/>
        <w:contextualSpacing w:val="0"/>
      </w:pPr>
      <w:r w:rsidRPr="009F2684">
        <w:t>As many HAH providers are small charities, there is a tension for them in terms of integration with other providers, which they fear may impact on their specialism and charitable fundraising.</w:t>
      </w:r>
    </w:p>
    <w:p w14:paraId="0D64D615" w14:textId="77777777" w:rsidR="009F2684" w:rsidRPr="009F2684" w:rsidRDefault="009F2684" w:rsidP="009F2684">
      <w:pPr>
        <w:pStyle w:val="ListParagraph"/>
        <w:numPr>
          <w:ilvl w:val="0"/>
          <w:numId w:val="2"/>
        </w:numPr>
        <w:spacing w:after="240"/>
        <w:ind w:left="714" w:hanging="357"/>
        <w:contextualSpacing w:val="0"/>
      </w:pPr>
      <w:r w:rsidRPr="009F2684">
        <w:lastRenderedPageBreak/>
        <w:t xml:space="preserve">Commissioners should consider the sustainability of HAH when determining the amount of funding and the duration of contracts (which are often too short to provide adequate stability). </w:t>
      </w:r>
    </w:p>
    <w:p w14:paraId="707597B4" w14:textId="77777777" w:rsidR="009F2684" w:rsidRPr="009F2684" w:rsidRDefault="009F2684" w:rsidP="009F2684">
      <w:pPr>
        <w:pStyle w:val="ListParagraph"/>
        <w:numPr>
          <w:ilvl w:val="0"/>
          <w:numId w:val="2"/>
        </w:numPr>
        <w:spacing w:after="240"/>
        <w:ind w:left="714" w:hanging="357"/>
        <w:contextualSpacing w:val="0"/>
      </w:pPr>
      <w:r w:rsidRPr="009F2684">
        <w:t>Commissioners have important responsibilities for the equity of service availability. With the pressure to provide equitable services, some of the key features of HAH that drive better outcomes cannot be compromised, in particular: the elements of time, expertise and relational care which engender trust and confidence; agility of the service to respond to changing needs; identifying and addressing the needs of family carers as well as the patient at home.</w:t>
      </w:r>
    </w:p>
    <w:p w14:paraId="6A49B772" w14:textId="77777777" w:rsidR="009F2684" w:rsidRPr="009F2684" w:rsidRDefault="009F2684" w:rsidP="009F2684">
      <w:pPr>
        <w:pStyle w:val="ListParagraph"/>
        <w:numPr>
          <w:ilvl w:val="0"/>
          <w:numId w:val="2"/>
        </w:numPr>
        <w:spacing w:after="240"/>
        <w:ind w:left="714" w:hanging="357"/>
        <w:contextualSpacing w:val="0"/>
      </w:pPr>
      <w:r w:rsidRPr="009F2684">
        <w:t>Commissioners may also want to consider how to work with HAH providers to extend their services to more people, and particularly to address the inequities of provision for those with diagnoses other than cancer.</w:t>
      </w:r>
    </w:p>
    <w:p w14:paraId="290F6F5A" w14:textId="77777777" w:rsidR="009F2684" w:rsidRPr="009F2684" w:rsidRDefault="009F2684" w:rsidP="009F2684">
      <w:pPr>
        <w:pStyle w:val="ListParagraph"/>
      </w:pPr>
    </w:p>
    <w:p w14:paraId="502F887E" w14:textId="77777777" w:rsidR="009F2684" w:rsidRPr="009F2684" w:rsidRDefault="009F2684" w:rsidP="009F2684"/>
    <w:p w14:paraId="4A941779" w14:textId="77777777" w:rsidR="001E73BD" w:rsidRDefault="001E73BD"/>
    <w:sectPr w:rsidR="003855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9C9C" w14:textId="77777777" w:rsidR="001E73BD" w:rsidRDefault="001E73BD" w:rsidP="001E73BD">
      <w:pPr>
        <w:spacing w:after="0" w:line="240" w:lineRule="auto"/>
      </w:pPr>
      <w:r>
        <w:separator/>
      </w:r>
    </w:p>
  </w:endnote>
  <w:endnote w:type="continuationSeparator" w:id="0">
    <w:p w14:paraId="261C4764" w14:textId="77777777" w:rsidR="001E73BD" w:rsidRDefault="001E73BD" w:rsidP="001E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2B25" w14:textId="77777777" w:rsidR="001E73BD" w:rsidRDefault="001E73BD" w:rsidP="001E73BD">
      <w:pPr>
        <w:spacing w:after="0" w:line="240" w:lineRule="auto"/>
      </w:pPr>
      <w:r>
        <w:separator/>
      </w:r>
    </w:p>
  </w:footnote>
  <w:footnote w:type="continuationSeparator" w:id="0">
    <w:p w14:paraId="3A554606" w14:textId="77777777" w:rsidR="001E73BD" w:rsidRDefault="001E73BD" w:rsidP="001E7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5B5"/>
    <w:multiLevelType w:val="hybridMultilevel"/>
    <w:tmpl w:val="8FCCF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065D5"/>
    <w:multiLevelType w:val="hybridMultilevel"/>
    <w:tmpl w:val="D632E0EC"/>
    <w:lvl w:ilvl="0" w:tplc="4ACAACD0">
      <w:start w:val="1"/>
      <w:numFmt w:val="bullet"/>
      <w:lvlText w:val="o"/>
      <w:lvlJc w:val="left"/>
      <w:pPr>
        <w:tabs>
          <w:tab w:val="num" w:pos="720"/>
        </w:tabs>
        <w:ind w:left="720" w:hanging="360"/>
      </w:pPr>
      <w:rPr>
        <w:rFonts w:ascii="Courier New" w:hAnsi="Courier New" w:hint="default"/>
      </w:rPr>
    </w:lvl>
    <w:lvl w:ilvl="1" w:tplc="2A6E4AB6" w:tentative="1">
      <w:start w:val="1"/>
      <w:numFmt w:val="bullet"/>
      <w:lvlText w:val="o"/>
      <w:lvlJc w:val="left"/>
      <w:pPr>
        <w:tabs>
          <w:tab w:val="num" w:pos="1440"/>
        </w:tabs>
        <w:ind w:left="1440" w:hanging="360"/>
      </w:pPr>
      <w:rPr>
        <w:rFonts w:ascii="Courier New" w:hAnsi="Courier New" w:hint="default"/>
      </w:rPr>
    </w:lvl>
    <w:lvl w:ilvl="2" w:tplc="90BE5C1E" w:tentative="1">
      <w:start w:val="1"/>
      <w:numFmt w:val="bullet"/>
      <w:lvlText w:val="o"/>
      <w:lvlJc w:val="left"/>
      <w:pPr>
        <w:tabs>
          <w:tab w:val="num" w:pos="2160"/>
        </w:tabs>
        <w:ind w:left="2160" w:hanging="360"/>
      </w:pPr>
      <w:rPr>
        <w:rFonts w:ascii="Courier New" w:hAnsi="Courier New" w:hint="default"/>
      </w:rPr>
    </w:lvl>
    <w:lvl w:ilvl="3" w:tplc="64D4A0CC" w:tentative="1">
      <w:start w:val="1"/>
      <w:numFmt w:val="bullet"/>
      <w:lvlText w:val="o"/>
      <w:lvlJc w:val="left"/>
      <w:pPr>
        <w:tabs>
          <w:tab w:val="num" w:pos="2880"/>
        </w:tabs>
        <w:ind w:left="2880" w:hanging="360"/>
      </w:pPr>
      <w:rPr>
        <w:rFonts w:ascii="Courier New" w:hAnsi="Courier New" w:hint="default"/>
      </w:rPr>
    </w:lvl>
    <w:lvl w:ilvl="4" w:tplc="2648DC7C" w:tentative="1">
      <w:start w:val="1"/>
      <w:numFmt w:val="bullet"/>
      <w:lvlText w:val="o"/>
      <w:lvlJc w:val="left"/>
      <w:pPr>
        <w:tabs>
          <w:tab w:val="num" w:pos="3600"/>
        </w:tabs>
        <w:ind w:left="3600" w:hanging="360"/>
      </w:pPr>
      <w:rPr>
        <w:rFonts w:ascii="Courier New" w:hAnsi="Courier New" w:hint="default"/>
      </w:rPr>
    </w:lvl>
    <w:lvl w:ilvl="5" w:tplc="0E38DFC0" w:tentative="1">
      <w:start w:val="1"/>
      <w:numFmt w:val="bullet"/>
      <w:lvlText w:val="o"/>
      <w:lvlJc w:val="left"/>
      <w:pPr>
        <w:tabs>
          <w:tab w:val="num" w:pos="4320"/>
        </w:tabs>
        <w:ind w:left="4320" w:hanging="360"/>
      </w:pPr>
      <w:rPr>
        <w:rFonts w:ascii="Courier New" w:hAnsi="Courier New" w:hint="default"/>
      </w:rPr>
    </w:lvl>
    <w:lvl w:ilvl="6" w:tplc="483A3A2C" w:tentative="1">
      <w:start w:val="1"/>
      <w:numFmt w:val="bullet"/>
      <w:lvlText w:val="o"/>
      <w:lvlJc w:val="left"/>
      <w:pPr>
        <w:tabs>
          <w:tab w:val="num" w:pos="5040"/>
        </w:tabs>
        <w:ind w:left="5040" w:hanging="360"/>
      </w:pPr>
      <w:rPr>
        <w:rFonts w:ascii="Courier New" w:hAnsi="Courier New" w:hint="default"/>
      </w:rPr>
    </w:lvl>
    <w:lvl w:ilvl="7" w:tplc="3DEA9FF8" w:tentative="1">
      <w:start w:val="1"/>
      <w:numFmt w:val="bullet"/>
      <w:lvlText w:val="o"/>
      <w:lvlJc w:val="left"/>
      <w:pPr>
        <w:tabs>
          <w:tab w:val="num" w:pos="5760"/>
        </w:tabs>
        <w:ind w:left="5760" w:hanging="360"/>
      </w:pPr>
      <w:rPr>
        <w:rFonts w:ascii="Courier New" w:hAnsi="Courier New" w:hint="default"/>
      </w:rPr>
    </w:lvl>
    <w:lvl w:ilvl="8" w:tplc="6CA46698" w:tentative="1">
      <w:start w:val="1"/>
      <w:numFmt w:val="bullet"/>
      <w:lvlText w:val="o"/>
      <w:lvlJc w:val="left"/>
      <w:pPr>
        <w:tabs>
          <w:tab w:val="num" w:pos="6480"/>
        </w:tabs>
        <w:ind w:left="6480" w:hanging="360"/>
      </w:pPr>
      <w:rPr>
        <w:rFonts w:ascii="Courier New" w:hAnsi="Courier New" w:hint="default"/>
      </w:rPr>
    </w:lvl>
  </w:abstractNum>
  <w:num w:numId="1" w16cid:durableId="1159267668">
    <w:abstractNumId w:val="1"/>
  </w:num>
  <w:num w:numId="2" w16cid:durableId="64667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84"/>
    <w:rsid w:val="001E73BD"/>
    <w:rsid w:val="003A4D26"/>
    <w:rsid w:val="009F2684"/>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6A95B"/>
  <w15:chartTrackingRefBased/>
  <w15:docId w15:val="{C206585B-329C-4F45-8B6B-A849241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6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2684"/>
    <w:rPr>
      <w:color w:val="0563C1" w:themeColor="hyperlink"/>
      <w:u w:val="single"/>
    </w:rPr>
  </w:style>
  <w:style w:type="character" w:styleId="UnresolvedMention">
    <w:name w:val="Unresolved Mention"/>
    <w:basedOn w:val="DefaultParagraphFont"/>
    <w:uiPriority w:val="99"/>
    <w:semiHidden/>
    <w:unhideWhenUsed/>
    <w:rsid w:val="009F2684"/>
    <w:rPr>
      <w:color w:val="605E5C"/>
      <w:shd w:val="clear" w:color="auto" w:fill="E1DFDD"/>
    </w:rPr>
  </w:style>
  <w:style w:type="paragraph" w:styleId="ListParagraph">
    <w:name w:val="List Paragraph"/>
    <w:basedOn w:val="Normal"/>
    <w:uiPriority w:val="34"/>
    <w:qFormat/>
    <w:rsid w:val="009F2684"/>
    <w:pPr>
      <w:ind w:left="720"/>
      <w:contextualSpacing/>
    </w:pPr>
  </w:style>
  <w:style w:type="paragraph" w:styleId="Header">
    <w:name w:val="header"/>
    <w:basedOn w:val="Normal"/>
    <w:link w:val="HeaderChar"/>
    <w:uiPriority w:val="99"/>
    <w:unhideWhenUsed/>
    <w:rsid w:val="001E7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3BD"/>
  </w:style>
  <w:style w:type="paragraph" w:styleId="Footer">
    <w:name w:val="footer"/>
    <w:basedOn w:val="Normal"/>
    <w:link w:val="FooterChar"/>
    <w:uiPriority w:val="99"/>
    <w:unhideWhenUsed/>
    <w:rsid w:val="001E7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5255">
      <w:bodyDiv w:val="1"/>
      <w:marLeft w:val="0"/>
      <w:marRight w:val="0"/>
      <w:marTop w:val="0"/>
      <w:marBottom w:val="0"/>
      <w:divBdr>
        <w:top w:val="none" w:sz="0" w:space="0" w:color="auto"/>
        <w:left w:val="none" w:sz="0" w:space="0" w:color="auto"/>
        <w:bottom w:val="none" w:sz="0" w:space="0" w:color="auto"/>
        <w:right w:val="none" w:sz="0" w:space="0" w:color="auto"/>
      </w:divBdr>
    </w:div>
    <w:div w:id="571159406">
      <w:bodyDiv w:val="1"/>
      <w:marLeft w:val="0"/>
      <w:marRight w:val="0"/>
      <w:marTop w:val="0"/>
      <w:marBottom w:val="0"/>
      <w:divBdr>
        <w:top w:val="none" w:sz="0" w:space="0" w:color="auto"/>
        <w:left w:val="none" w:sz="0" w:space="0" w:color="auto"/>
        <w:bottom w:val="none" w:sz="0" w:space="0" w:color="auto"/>
        <w:right w:val="none" w:sz="0" w:space="0" w:color="auto"/>
      </w:divBdr>
    </w:div>
    <w:div w:id="657346355">
      <w:bodyDiv w:val="1"/>
      <w:marLeft w:val="0"/>
      <w:marRight w:val="0"/>
      <w:marTop w:val="0"/>
      <w:marBottom w:val="0"/>
      <w:divBdr>
        <w:top w:val="none" w:sz="0" w:space="0" w:color="auto"/>
        <w:left w:val="none" w:sz="0" w:space="0" w:color="auto"/>
        <w:bottom w:val="none" w:sz="0" w:space="0" w:color="auto"/>
        <w:right w:val="none" w:sz="0" w:space="0" w:color="auto"/>
      </w:divBdr>
      <w:divsChild>
        <w:div w:id="898780783">
          <w:marLeft w:val="274"/>
          <w:marRight w:val="0"/>
          <w:marTop w:val="0"/>
          <w:marBottom w:val="60"/>
          <w:divBdr>
            <w:top w:val="none" w:sz="0" w:space="0" w:color="auto"/>
            <w:left w:val="none" w:sz="0" w:space="0" w:color="auto"/>
            <w:bottom w:val="none" w:sz="0" w:space="0" w:color="auto"/>
            <w:right w:val="none" w:sz="0" w:space="0" w:color="auto"/>
          </w:divBdr>
        </w:div>
        <w:div w:id="1190994236">
          <w:marLeft w:val="274"/>
          <w:marRight w:val="0"/>
          <w:marTop w:val="0"/>
          <w:marBottom w:val="60"/>
          <w:divBdr>
            <w:top w:val="none" w:sz="0" w:space="0" w:color="auto"/>
            <w:left w:val="none" w:sz="0" w:space="0" w:color="auto"/>
            <w:bottom w:val="none" w:sz="0" w:space="0" w:color="auto"/>
            <w:right w:val="none" w:sz="0" w:space="0" w:color="auto"/>
          </w:divBdr>
        </w:div>
        <w:div w:id="1728802792">
          <w:marLeft w:val="274"/>
          <w:marRight w:val="0"/>
          <w:marTop w:val="0"/>
          <w:marBottom w:val="60"/>
          <w:divBdr>
            <w:top w:val="none" w:sz="0" w:space="0" w:color="auto"/>
            <w:left w:val="none" w:sz="0" w:space="0" w:color="auto"/>
            <w:bottom w:val="none" w:sz="0" w:space="0" w:color="auto"/>
            <w:right w:val="none" w:sz="0" w:space="0" w:color="auto"/>
          </w:divBdr>
        </w:div>
        <w:div w:id="1892031989">
          <w:marLeft w:val="274"/>
          <w:marRight w:val="0"/>
          <w:marTop w:val="0"/>
          <w:marBottom w:val="60"/>
          <w:divBdr>
            <w:top w:val="none" w:sz="0" w:space="0" w:color="auto"/>
            <w:left w:val="none" w:sz="0" w:space="0" w:color="auto"/>
            <w:bottom w:val="none" w:sz="0" w:space="0" w:color="auto"/>
            <w:right w:val="none" w:sz="0" w:space="0" w:color="auto"/>
          </w:divBdr>
        </w:div>
        <w:div w:id="852912730">
          <w:marLeft w:val="274"/>
          <w:marRight w:val="0"/>
          <w:marTop w:val="0"/>
          <w:marBottom w:val="60"/>
          <w:divBdr>
            <w:top w:val="none" w:sz="0" w:space="0" w:color="auto"/>
            <w:left w:val="none" w:sz="0" w:space="0" w:color="auto"/>
            <w:bottom w:val="none" w:sz="0" w:space="0" w:color="auto"/>
            <w:right w:val="none" w:sz="0" w:space="0" w:color="auto"/>
          </w:divBdr>
        </w:div>
      </w:divsChild>
    </w:div>
    <w:div w:id="672489508">
      <w:bodyDiv w:val="1"/>
      <w:marLeft w:val="0"/>
      <w:marRight w:val="0"/>
      <w:marTop w:val="0"/>
      <w:marBottom w:val="0"/>
      <w:divBdr>
        <w:top w:val="none" w:sz="0" w:space="0" w:color="auto"/>
        <w:left w:val="none" w:sz="0" w:space="0" w:color="auto"/>
        <w:bottom w:val="none" w:sz="0" w:space="0" w:color="auto"/>
        <w:right w:val="none" w:sz="0" w:space="0" w:color="auto"/>
      </w:divBdr>
    </w:div>
    <w:div w:id="798189406">
      <w:bodyDiv w:val="1"/>
      <w:marLeft w:val="0"/>
      <w:marRight w:val="0"/>
      <w:marTop w:val="0"/>
      <w:marBottom w:val="0"/>
      <w:divBdr>
        <w:top w:val="none" w:sz="0" w:space="0" w:color="auto"/>
        <w:left w:val="none" w:sz="0" w:space="0" w:color="auto"/>
        <w:bottom w:val="none" w:sz="0" w:space="0" w:color="auto"/>
        <w:right w:val="none" w:sz="0" w:space="0" w:color="auto"/>
      </w:divBdr>
    </w:div>
    <w:div w:id="1127435041">
      <w:bodyDiv w:val="1"/>
      <w:marLeft w:val="0"/>
      <w:marRight w:val="0"/>
      <w:marTop w:val="0"/>
      <w:marBottom w:val="0"/>
      <w:divBdr>
        <w:top w:val="none" w:sz="0" w:space="0" w:color="auto"/>
        <w:left w:val="none" w:sz="0" w:space="0" w:color="auto"/>
        <w:bottom w:val="none" w:sz="0" w:space="0" w:color="auto"/>
        <w:right w:val="none" w:sz="0" w:space="0" w:color="auto"/>
      </w:divBdr>
    </w:div>
    <w:div w:id="1196429590">
      <w:bodyDiv w:val="1"/>
      <w:marLeft w:val="0"/>
      <w:marRight w:val="0"/>
      <w:marTop w:val="0"/>
      <w:marBottom w:val="0"/>
      <w:divBdr>
        <w:top w:val="none" w:sz="0" w:space="0" w:color="auto"/>
        <w:left w:val="none" w:sz="0" w:space="0" w:color="auto"/>
        <w:bottom w:val="none" w:sz="0" w:space="0" w:color="auto"/>
        <w:right w:val="none" w:sz="0" w:space="0" w:color="auto"/>
      </w:divBdr>
    </w:div>
    <w:div w:id="1223639413">
      <w:bodyDiv w:val="1"/>
      <w:marLeft w:val="0"/>
      <w:marRight w:val="0"/>
      <w:marTop w:val="0"/>
      <w:marBottom w:val="0"/>
      <w:divBdr>
        <w:top w:val="none" w:sz="0" w:space="0" w:color="auto"/>
        <w:left w:val="none" w:sz="0" w:space="0" w:color="auto"/>
        <w:bottom w:val="none" w:sz="0" w:space="0" w:color="auto"/>
        <w:right w:val="none" w:sz="0" w:space="0" w:color="auto"/>
      </w:divBdr>
    </w:div>
    <w:div w:id="1473477210">
      <w:bodyDiv w:val="1"/>
      <w:marLeft w:val="0"/>
      <w:marRight w:val="0"/>
      <w:marTop w:val="0"/>
      <w:marBottom w:val="0"/>
      <w:divBdr>
        <w:top w:val="none" w:sz="0" w:space="0" w:color="auto"/>
        <w:left w:val="none" w:sz="0" w:space="0" w:color="auto"/>
        <w:bottom w:val="none" w:sz="0" w:space="0" w:color="auto"/>
        <w:right w:val="none" w:sz="0" w:space="0" w:color="auto"/>
      </w:divBdr>
    </w:div>
    <w:div w:id="1575814340">
      <w:bodyDiv w:val="1"/>
      <w:marLeft w:val="0"/>
      <w:marRight w:val="0"/>
      <w:marTop w:val="0"/>
      <w:marBottom w:val="0"/>
      <w:divBdr>
        <w:top w:val="none" w:sz="0" w:space="0" w:color="auto"/>
        <w:left w:val="none" w:sz="0" w:space="0" w:color="auto"/>
        <w:bottom w:val="none" w:sz="0" w:space="0" w:color="auto"/>
        <w:right w:val="none" w:sz="0" w:space="0" w:color="auto"/>
      </w:divBdr>
    </w:div>
    <w:div w:id="1693191097">
      <w:bodyDiv w:val="1"/>
      <w:marLeft w:val="0"/>
      <w:marRight w:val="0"/>
      <w:marTop w:val="0"/>
      <w:marBottom w:val="0"/>
      <w:divBdr>
        <w:top w:val="none" w:sz="0" w:space="0" w:color="auto"/>
        <w:left w:val="none" w:sz="0" w:space="0" w:color="auto"/>
        <w:bottom w:val="none" w:sz="0" w:space="0" w:color="auto"/>
        <w:right w:val="none" w:sz="0" w:space="0" w:color="auto"/>
      </w:divBdr>
    </w:div>
    <w:div w:id="1924222246">
      <w:bodyDiv w:val="1"/>
      <w:marLeft w:val="0"/>
      <w:marRight w:val="0"/>
      <w:marTop w:val="0"/>
      <w:marBottom w:val="0"/>
      <w:divBdr>
        <w:top w:val="none" w:sz="0" w:space="0" w:color="auto"/>
        <w:left w:val="none" w:sz="0" w:space="0" w:color="auto"/>
        <w:bottom w:val="none" w:sz="0" w:space="0" w:color="auto"/>
        <w:right w:val="none" w:sz="0" w:space="0" w:color="auto"/>
      </w:divBdr>
    </w:div>
    <w:div w:id="21469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hsdr/MSAY4464" TargetMode="External"/><Relationship Id="rId3" Type="http://schemas.openxmlformats.org/officeDocument/2006/relationships/settings" Target="settings.xml"/><Relationship Id="rId7" Type="http://schemas.openxmlformats.org/officeDocument/2006/relationships/hyperlink" Target="http://www.hospiceathome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spiceuk.org/hospice-care-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2</cp:revision>
  <dcterms:created xsi:type="dcterms:W3CDTF">2023-04-05T14:56:00Z</dcterms:created>
  <dcterms:modified xsi:type="dcterms:W3CDTF">2023-10-28T16:18:00Z</dcterms:modified>
</cp:coreProperties>
</file>